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D23" w:rsidRPr="00F04189" w:rsidRDefault="008E4D23" w:rsidP="008E4D23">
      <w:pPr>
        <w:pStyle w:val="CRCoverPage"/>
        <w:outlineLvl w:val="0"/>
        <w:rPr>
          <w:rFonts w:cs="Arial"/>
          <w:b/>
          <w:sz w:val="24"/>
          <w:szCs w:val="24"/>
          <w:lang w:val="en-US"/>
        </w:rPr>
      </w:pPr>
      <w:bookmarkStart w:id="0" w:name="_Toc193024528"/>
      <w:r w:rsidRPr="00F04189">
        <w:rPr>
          <w:rFonts w:cs="Arial"/>
          <w:b/>
          <w:sz w:val="24"/>
          <w:szCs w:val="24"/>
          <w:lang w:val="en-US"/>
        </w:rPr>
        <w:t>3GPP TSG-RAN WG4 Meeting # 99-e</w:t>
      </w:r>
      <w:r w:rsidRPr="00F0418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F04189">
        <w:rPr>
          <w:rFonts w:cs="Arial"/>
          <w:b/>
          <w:sz w:val="24"/>
          <w:szCs w:val="24"/>
          <w:lang w:val="en-US"/>
        </w:rPr>
        <w:t>R4-21</w:t>
      </w:r>
      <w:r w:rsidR="000048C2">
        <w:rPr>
          <w:rFonts w:cs="Arial"/>
          <w:b/>
          <w:sz w:val="24"/>
          <w:szCs w:val="24"/>
          <w:lang w:val="en-US"/>
        </w:rPr>
        <w:t>1002</w:t>
      </w:r>
      <w:r w:rsidR="00C3221C">
        <w:rPr>
          <w:rFonts w:cs="Arial"/>
          <w:b/>
          <w:sz w:val="24"/>
          <w:szCs w:val="24"/>
          <w:lang w:val="en-US"/>
        </w:rPr>
        <w:t>2</w:t>
      </w:r>
      <w:bookmarkStart w:id="1" w:name="_GoBack"/>
      <w:bookmarkEnd w:id="1"/>
    </w:p>
    <w:p w:rsidR="00DB2AC9" w:rsidRPr="00992D9C" w:rsidRDefault="008E4D23" w:rsidP="008E4D23">
      <w:pPr>
        <w:pStyle w:val="CRCoverPage"/>
        <w:outlineLvl w:val="0"/>
        <w:rPr>
          <w:rFonts w:eastAsia="宋体"/>
          <w:b/>
          <w:i/>
          <w:sz w:val="24"/>
          <w:lang w:eastAsia="zh-CN"/>
        </w:rPr>
      </w:pPr>
      <w:r w:rsidRPr="00F04189">
        <w:rPr>
          <w:rFonts w:cs="Arial"/>
          <w:b/>
          <w:sz w:val="24"/>
          <w:szCs w:val="24"/>
          <w:lang w:val="en-US"/>
        </w:rPr>
        <w:t>Electronic Meeting, May. 19-27,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8E4D23">
        <w:rPr>
          <w:rFonts w:ascii="Arial" w:hAnsi="Arial"/>
          <w:sz w:val="24"/>
          <w:lang w:val="en-US"/>
        </w:rPr>
        <w:t xml:space="preserve">further discussion </w:t>
      </w:r>
      <w:r>
        <w:rPr>
          <w:rFonts w:ascii="Arial" w:hAnsi="Arial" w:hint="eastAsia"/>
          <w:sz w:val="24"/>
          <w:lang w:val="en-US" w:eastAsia="zh-CN"/>
        </w:rPr>
        <w:t>on</w:t>
      </w:r>
      <w:r w:rsidR="00B03CB3">
        <w:rPr>
          <w:rFonts w:ascii="Arial" w:hAnsi="Arial"/>
          <w:sz w:val="24"/>
          <w:lang w:val="en-US"/>
        </w:rPr>
        <w:t xml:space="preserve"> </w:t>
      </w:r>
      <w:r w:rsidR="00081ABB">
        <w:rPr>
          <w:rFonts w:ascii="Arial" w:hAnsi="Arial"/>
          <w:sz w:val="24"/>
          <w:lang w:val="en-US"/>
        </w:rPr>
        <w:t xml:space="preserve">V2X HPUE power class signaling </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8E4D23">
        <w:rPr>
          <w:rFonts w:ascii="Arial" w:hAnsi="Arial"/>
          <w:sz w:val="24"/>
          <w:lang w:val="pt-BR"/>
        </w:rPr>
        <w:t>9.14</w:t>
      </w:r>
      <w:r w:rsidR="00951CF8">
        <w:rPr>
          <w:rFonts w:ascii="Arial" w:hAnsi="Arial"/>
          <w:sz w:val="24"/>
          <w:lang w:val="pt-BR"/>
        </w:rPr>
        <w:t>.6.3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 xml:space="preserve">The HPUE </w:t>
      </w:r>
      <w:r w:rsidR="00081ABB">
        <w:rPr>
          <w:lang w:val="en-US" w:eastAsia="zh-CN"/>
        </w:rPr>
        <w:t>power class signaling issue has been</w:t>
      </w:r>
      <w:r w:rsidR="00951CF8">
        <w:rPr>
          <w:lang w:val="en-US" w:eastAsia="zh-CN"/>
        </w:rPr>
        <w:t xml:space="preserve"> discussed in RAN4#98</w:t>
      </w:r>
      <w:r w:rsidR="008E4D23">
        <w:rPr>
          <w:lang w:val="en-US" w:eastAsia="zh-CN"/>
        </w:rPr>
        <w:t>-bis</w:t>
      </w:r>
      <w:r w:rsidR="00951CF8">
        <w:rPr>
          <w:lang w:val="en-US" w:eastAsia="zh-CN"/>
        </w:rPr>
        <w:t>-e and a WF[1] has been agreed</w:t>
      </w:r>
      <w:r w:rsidR="008E4D23">
        <w:rPr>
          <w:lang w:val="en-US" w:eastAsia="zh-CN"/>
        </w:rPr>
        <w:t xml:space="preserve"> as to further study the PC2 signaling necessity</w:t>
      </w:r>
      <w:r w:rsidR="00951CF8">
        <w:rPr>
          <w:lang w:val="en-US" w:eastAsia="zh-CN"/>
        </w:rPr>
        <w:t>.</w:t>
      </w:r>
      <w:r w:rsidR="008E4D23">
        <w:rPr>
          <w:lang w:val="en-US" w:eastAsia="zh-CN"/>
        </w:rPr>
        <w:t xml:space="preserve"> In this paper, we give further discussion on this issue as combining with more scenarios.</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951CF8" w:rsidRPr="00951CF8" w:rsidRDefault="00951CF8" w:rsidP="00951CF8">
      <w:pPr>
        <w:rPr>
          <w:lang w:val="en-US" w:eastAsia="zh-CN"/>
        </w:rPr>
      </w:pPr>
      <w:r>
        <w:rPr>
          <w:lang w:val="en-US" w:eastAsia="zh-CN"/>
        </w:rPr>
        <w:t>The issues listed in the WF[1] on V2X HPUE signaling are captured below:</w:t>
      </w:r>
    </w:p>
    <w:p w:rsidR="007A4AC6" w:rsidRPr="008E4D23" w:rsidRDefault="00D17695" w:rsidP="008E4D23">
      <w:pPr>
        <w:numPr>
          <w:ilvl w:val="0"/>
          <w:numId w:val="5"/>
        </w:numPr>
        <w:rPr>
          <w:i/>
          <w:lang w:val="en-US" w:eastAsia="zh-CN"/>
        </w:rPr>
      </w:pPr>
      <w:r w:rsidRPr="008E4D23">
        <w:rPr>
          <w:rFonts w:hint="eastAsia"/>
          <w:b/>
          <w:bCs/>
          <w:i/>
          <w:lang w:eastAsia="zh-CN"/>
        </w:rPr>
        <w:t xml:space="preserve">Issue 1-2: </w:t>
      </w:r>
      <w:r w:rsidRPr="008E4D23">
        <w:rPr>
          <w:rFonts w:hint="eastAsia"/>
          <w:b/>
          <w:bCs/>
          <w:i/>
          <w:lang w:val="en-US" w:eastAsia="zh-CN"/>
        </w:rPr>
        <w:t>NR V2X PC2 power class capability</w:t>
      </w:r>
    </w:p>
    <w:p w:rsidR="007A4AC6" w:rsidRPr="008E4D23" w:rsidRDefault="00D17695" w:rsidP="008E4D23">
      <w:pPr>
        <w:numPr>
          <w:ilvl w:val="1"/>
          <w:numId w:val="5"/>
        </w:numPr>
        <w:rPr>
          <w:i/>
          <w:lang w:val="en-US" w:eastAsia="zh-CN"/>
        </w:rPr>
      </w:pPr>
      <w:r w:rsidRPr="008E4D23">
        <w:rPr>
          <w:rFonts w:hint="eastAsia"/>
          <w:b/>
          <w:bCs/>
          <w:i/>
          <w:lang w:val="en-US" w:eastAsia="zh-CN"/>
        </w:rPr>
        <w:t>Options</w:t>
      </w:r>
    </w:p>
    <w:p w:rsidR="007A4AC6" w:rsidRPr="008E4D23" w:rsidRDefault="00D17695" w:rsidP="008E4D23">
      <w:pPr>
        <w:numPr>
          <w:ilvl w:val="1"/>
          <w:numId w:val="5"/>
        </w:numPr>
        <w:rPr>
          <w:i/>
          <w:lang w:val="en-US" w:eastAsia="zh-CN"/>
        </w:rPr>
      </w:pPr>
      <w:r w:rsidRPr="008E4D23">
        <w:rPr>
          <w:rFonts w:hint="eastAsia"/>
          <w:i/>
          <w:lang w:val="en-US" w:eastAsia="zh-CN"/>
        </w:rPr>
        <w:t xml:space="preserve">Option 1: Specific PC2 power class for NR V2X needs to be defined.  </w:t>
      </w:r>
    </w:p>
    <w:p w:rsidR="007A4AC6" w:rsidRPr="008E4D23" w:rsidRDefault="00D17695" w:rsidP="008E4D23">
      <w:pPr>
        <w:numPr>
          <w:ilvl w:val="1"/>
          <w:numId w:val="5"/>
        </w:numPr>
        <w:rPr>
          <w:i/>
          <w:lang w:val="en-US" w:eastAsia="zh-CN"/>
        </w:rPr>
      </w:pPr>
      <w:r w:rsidRPr="008E4D23">
        <w:rPr>
          <w:rFonts w:hint="eastAsia"/>
          <w:i/>
          <w:lang w:val="en-US" w:eastAsia="zh-CN"/>
        </w:rPr>
        <w:t xml:space="preserve">Option 2: No need to introduce Specific PC2 power class for NR V2X </w:t>
      </w:r>
    </w:p>
    <w:p w:rsidR="007A4AC6" w:rsidRPr="008E4D23" w:rsidRDefault="00D17695" w:rsidP="008E4D23">
      <w:pPr>
        <w:numPr>
          <w:ilvl w:val="1"/>
          <w:numId w:val="5"/>
        </w:numPr>
        <w:rPr>
          <w:i/>
          <w:lang w:val="en-US" w:eastAsia="zh-CN"/>
        </w:rPr>
      </w:pPr>
      <w:r w:rsidRPr="008E4D23">
        <w:rPr>
          <w:rFonts w:hint="eastAsia"/>
          <w:b/>
          <w:bCs/>
          <w:i/>
          <w:lang w:val="en-US" w:eastAsia="zh-CN"/>
        </w:rPr>
        <w:t>WF</w:t>
      </w:r>
    </w:p>
    <w:p w:rsidR="007A4AC6" w:rsidRPr="008E4D23" w:rsidRDefault="00D17695" w:rsidP="008E4D23">
      <w:pPr>
        <w:numPr>
          <w:ilvl w:val="1"/>
          <w:numId w:val="5"/>
        </w:numPr>
        <w:rPr>
          <w:i/>
          <w:lang w:val="en-US" w:eastAsia="zh-CN"/>
        </w:rPr>
      </w:pPr>
      <w:r w:rsidRPr="008E4D23">
        <w:rPr>
          <w:rFonts w:hint="eastAsia"/>
          <w:i/>
          <w:lang w:val="en-US" w:eastAsia="zh-CN"/>
        </w:rPr>
        <w:t>To be further discussed</w:t>
      </w:r>
    </w:p>
    <w:p w:rsidR="008E4D23" w:rsidRDefault="008E4D23" w:rsidP="00480F2E">
      <w:r>
        <w:rPr>
          <w:rFonts w:hint="eastAsia"/>
          <w:lang w:val="en-US" w:eastAsia="zh-CN"/>
        </w:rPr>
        <w:t>T</w:t>
      </w:r>
      <w:r>
        <w:rPr>
          <w:lang w:val="en-US" w:eastAsia="zh-CN"/>
        </w:rPr>
        <w:t xml:space="preserve">he PC2 signaling has been discussed for 2 meetings. In our last paper, the IE </w:t>
      </w:r>
      <w:r w:rsidRPr="008E4D23">
        <w:rPr>
          <w:i/>
          <w:lang w:val="en-US" w:eastAsia="zh-CN"/>
        </w:rPr>
        <w:t>ue-PowerClass</w:t>
      </w:r>
      <w:r>
        <w:rPr>
          <w:lang w:val="en-US" w:eastAsia="zh-CN"/>
        </w:rPr>
        <w:t xml:space="preserve"> signaling has been clarified as per band capability and the IE </w:t>
      </w:r>
      <w:r w:rsidRPr="008E4D23">
        <w:rPr>
          <w:i/>
          <w:lang w:val="en-US" w:eastAsia="zh-CN"/>
        </w:rPr>
        <w:t>powerclass</w:t>
      </w:r>
      <w:r>
        <w:rPr>
          <w:lang w:val="en-US" w:eastAsia="zh-CN"/>
        </w:rPr>
        <w:t xml:space="preserve"> is defined per band combinations. Currently the SL enhancement Rel-17 discussion is trying to introduce PC2 UEs with single band operation as well as inter-band concurrent operation. </w:t>
      </w:r>
      <w:r w:rsidR="00EC6E99">
        <w:rPr>
          <w:lang w:val="en-US" w:eastAsia="zh-CN"/>
        </w:rPr>
        <w:t xml:space="preserve">For single band operation, it has been shown in our previous paper [2] that for Rel-14 LTE V2X, the IE </w:t>
      </w:r>
      <w:r w:rsidR="00EC6E99" w:rsidRPr="006B166F">
        <w:rPr>
          <w:i/>
        </w:rPr>
        <w:t>v2x-HighPower-r14</w:t>
      </w:r>
      <w:r w:rsidR="00EC6E99">
        <w:rPr>
          <w:i/>
        </w:rPr>
        <w:t xml:space="preserve"> </w:t>
      </w:r>
      <w:r w:rsidR="00EC6E99">
        <w:t xml:space="preserve">is defined in TS 36.306 to indicate to the network about the PC2 capability. In case the SL-MIMO </w:t>
      </w:r>
      <w:r w:rsidR="00076FAA">
        <w:t>is not defined for LTE V2X, we find that the PC2 LTE V2X is only for band 47 and Transmit diversity scheme as captured below from TS 36.101:</w:t>
      </w:r>
    </w:p>
    <w:p w:rsidR="00076FAA" w:rsidRPr="00EC6E99" w:rsidRDefault="00076FAA" w:rsidP="00480F2E">
      <w:pPr>
        <w:rPr>
          <w:lang w:val="en-US" w:eastAsia="zh-CN"/>
        </w:rPr>
      </w:pPr>
      <w:r>
        <w:rPr>
          <w:noProof/>
          <w:lang w:val="en-US" w:eastAsia="zh-CN"/>
        </w:rPr>
        <w:drawing>
          <wp:inline distT="0" distB="0" distL="0" distR="0" wp14:anchorId="56BF49F6" wp14:editId="380369CC">
            <wp:extent cx="6646545" cy="91567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915670"/>
                    </a:xfrm>
                    <a:prstGeom prst="rect">
                      <a:avLst/>
                    </a:prstGeom>
                  </pic:spPr>
                </pic:pic>
              </a:graphicData>
            </a:graphic>
          </wp:inline>
        </w:drawing>
      </w:r>
    </w:p>
    <w:p w:rsidR="00076FAA" w:rsidRDefault="00076FAA" w:rsidP="00480F2E">
      <w:pPr>
        <w:rPr>
          <w:b/>
          <w:lang w:val="en-US" w:eastAsia="zh-CN"/>
        </w:rPr>
      </w:pPr>
      <w:r w:rsidRPr="00076FAA">
        <w:rPr>
          <w:rFonts w:hint="eastAsia"/>
          <w:b/>
          <w:lang w:val="en-US" w:eastAsia="zh-CN"/>
        </w:rPr>
        <w:t>O</w:t>
      </w:r>
      <w:r w:rsidRPr="00076FAA">
        <w:rPr>
          <w:b/>
          <w:lang w:val="en-US" w:eastAsia="zh-CN"/>
        </w:rPr>
        <w:t>bservation 1</w:t>
      </w:r>
      <w:r w:rsidRPr="00076FAA">
        <w:rPr>
          <w:rFonts w:hint="eastAsia"/>
          <w:b/>
          <w:lang w:val="en-US" w:eastAsia="zh-CN"/>
        </w:rPr>
        <w:t>：</w:t>
      </w:r>
      <w:r>
        <w:rPr>
          <w:rFonts w:hint="eastAsia"/>
          <w:b/>
          <w:lang w:val="en-US" w:eastAsia="zh-CN"/>
        </w:rPr>
        <w:t>L</w:t>
      </w:r>
      <w:r>
        <w:rPr>
          <w:b/>
          <w:lang w:val="en-US" w:eastAsia="zh-CN"/>
        </w:rPr>
        <w:t xml:space="preserve">TE V2X PC2 </w:t>
      </w:r>
      <w:r>
        <w:rPr>
          <w:rFonts w:hint="eastAsia"/>
          <w:b/>
          <w:lang w:val="en-US" w:eastAsia="zh-CN"/>
        </w:rPr>
        <w:t>i</w:t>
      </w:r>
      <w:r>
        <w:rPr>
          <w:b/>
          <w:lang w:val="en-US" w:eastAsia="zh-CN"/>
        </w:rPr>
        <w:t>s only defined for transmit diversity.</w:t>
      </w:r>
    </w:p>
    <w:p w:rsidR="00076FAA" w:rsidRPr="00076FAA" w:rsidRDefault="00076FAA" w:rsidP="00480F2E">
      <w:pPr>
        <w:rPr>
          <w:b/>
          <w:lang w:val="en-US" w:eastAsia="zh-CN"/>
        </w:rPr>
      </w:pPr>
      <w:r>
        <w:rPr>
          <w:b/>
          <w:lang w:val="en-US" w:eastAsia="zh-CN"/>
        </w:rPr>
        <w:t xml:space="preserve">Observation 2: The IE </w:t>
      </w:r>
      <w:r w:rsidRPr="00076FAA">
        <w:rPr>
          <w:b/>
          <w:i/>
        </w:rPr>
        <w:t xml:space="preserve">v2x-HighPower-r14 </w:t>
      </w:r>
      <w:r w:rsidRPr="00076FAA">
        <w:rPr>
          <w:b/>
        </w:rPr>
        <w:t>is for LTE V2X transmit diversity scheme.</w:t>
      </w:r>
    </w:p>
    <w:p w:rsidR="00076FAA" w:rsidRDefault="00076FAA" w:rsidP="00480F2E">
      <w:r>
        <w:rPr>
          <w:rFonts w:hint="eastAsia"/>
          <w:lang w:val="en-US" w:eastAsia="zh-CN"/>
        </w:rPr>
        <w:t>I</w:t>
      </w:r>
      <w:r>
        <w:rPr>
          <w:lang w:val="en-US" w:eastAsia="zh-CN"/>
        </w:rPr>
        <w:t xml:space="preserve">n this case, we IE </w:t>
      </w:r>
      <w:r w:rsidRPr="006B166F">
        <w:rPr>
          <w:i/>
        </w:rPr>
        <w:t>v2x-HighPower-r14</w:t>
      </w:r>
      <w:r>
        <w:rPr>
          <w:i/>
        </w:rPr>
        <w:t xml:space="preserve"> </w:t>
      </w:r>
      <w:r>
        <w:t>indicates TXD for the LTE V2X UE PC2 capability. However, for Rel-17 sidelink enhancement as stated above, the PC2 capability can be applied for single antenna port</w:t>
      </w:r>
      <w:r>
        <w:rPr>
          <w:rFonts w:hint="eastAsia"/>
          <w:lang w:eastAsia="zh-CN"/>
        </w:rPr>
        <w:t>/</w:t>
      </w:r>
      <w:r>
        <w:t>SL-MIMO/SL-TXD and also for single band or inter-band combinations. Furthermore, as currently discussed the intra-band concurrent operation with TDM and FDM scenarios with single RF chain and separate RF chain architecture assumptions will need further clarification as whether PC2 is also supported in this scenario.</w:t>
      </w:r>
    </w:p>
    <w:p w:rsidR="007E196B" w:rsidRDefault="007E196B" w:rsidP="00480F2E">
      <w:pPr>
        <w:rPr>
          <w:b/>
        </w:rPr>
      </w:pPr>
      <w:r>
        <w:rPr>
          <w:rFonts w:hint="eastAsia"/>
          <w:b/>
          <w:lang w:eastAsia="zh-CN"/>
        </w:rPr>
        <w:t>Proposal</w:t>
      </w:r>
      <w:r>
        <w:rPr>
          <w:rFonts w:hint="eastAsia"/>
          <w:b/>
          <w:lang w:eastAsia="zh-CN"/>
        </w:rPr>
        <w:t>：</w:t>
      </w:r>
      <w:r w:rsidR="00076FAA" w:rsidRPr="00076FAA">
        <w:rPr>
          <w:b/>
        </w:rPr>
        <w:t>For SL enhancement work, we need to clarify the</w:t>
      </w:r>
      <w:r>
        <w:rPr>
          <w:b/>
        </w:rPr>
        <w:t xml:space="preserve"> below</w:t>
      </w:r>
      <w:r w:rsidR="00076FAA" w:rsidRPr="00076FAA">
        <w:rPr>
          <w:b/>
        </w:rPr>
        <w:t xml:space="preserve"> scenario range that PC2 UE applies.</w:t>
      </w:r>
    </w:p>
    <w:p w:rsidR="007E196B" w:rsidRPr="007E196B" w:rsidRDefault="007E196B" w:rsidP="00480F2E">
      <w:pPr>
        <w:rPr>
          <w:b/>
        </w:rPr>
      </w:pPr>
      <w:r w:rsidRPr="007E196B">
        <w:rPr>
          <w:b/>
        </w:rPr>
        <w:t>Single band + Single antenna: Single 26dBm architecture</w:t>
      </w:r>
    </w:p>
    <w:p w:rsidR="007E196B" w:rsidRPr="007E196B" w:rsidRDefault="007E196B" w:rsidP="00480F2E">
      <w:pPr>
        <w:rPr>
          <w:b/>
        </w:rPr>
      </w:pPr>
      <w:r w:rsidRPr="007E196B">
        <w:rPr>
          <w:b/>
        </w:rPr>
        <w:t xml:space="preserve">Single band </w:t>
      </w:r>
      <w:r w:rsidRPr="007E196B">
        <w:rPr>
          <w:rFonts w:hint="eastAsia"/>
          <w:b/>
          <w:lang w:eastAsia="zh-CN"/>
        </w:rPr>
        <w:t>+</w:t>
      </w:r>
      <w:r w:rsidRPr="007E196B">
        <w:rPr>
          <w:b/>
        </w:rPr>
        <w:t xml:space="preserve"> </w:t>
      </w:r>
      <w:r w:rsidRPr="007E196B">
        <w:rPr>
          <w:rFonts w:hint="eastAsia"/>
          <w:b/>
          <w:lang w:eastAsia="zh-CN"/>
        </w:rPr>
        <w:t>Multi</w:t>
      </w:r>
      <w:r w:rsidRPr="007E196B">
        <w:rPr>
          <w:b/>
        </w:rPr>
        <w:t xml:space="preserve"> antenna: TXD, SL-MIMO, intra-band concurrent operation</w:t>
      </w:r>
    </w:p>
    <w:p w:rsidR="007E196B" w:rsidRPr="007E196B" w:rsidRDefault="007E196B" w:rsidP="00480F2E">
      <w:pPr>
        <w:rPr>
          <w:b/>
        </w:rPr>
      </w:pPr>
      <w:r w:rsidRPr="007E196B">
        <w:rPr>
          <w:b/>
        </w:rPr>
        <w:t>Multi band + Multi antenna: Inter-band concurrent operation</w:t>
      </w:r>
    </w:p>
    <w:bookmarkEnd w:id="2"/>
    <w:bookmarkEnd w:id="3"/>
    <w:p w:rsidR="00DB2AC9" w:rsidRPr="000A4C5A" w:rsidRDefault="00DB2AC9" w:rsidP="00DB2AC9">
      <w:pPr>
        <w:pStyle w:val="1"/>
        <w:rPr>
          <w:lang w:eastAsia="zh-CN"/>
        </w:rPr>
      </w:pPr>
      <w:r w:rsidRPr="000A4C5A">
        <w:rPr>
          <w:rFonts w:hint="eastAsia"/>
          <w:lang w:eastAsia="zh-CN"/>
        </w:rPr>
        <w:lastRenderedPageBreak/>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D607D4">
        <w:rPr>
          <w:lang w:val="en-US" w:eastAsia="zh-CN"/>
        </w:rPr>
        <w:t>remaining issue on V2X HPUE</w:t>
      </w:r>
      <w:r w:rsidR="00D42672">
        <w:rPr>
          <w:lang w:val="en-US" w:eastAsia="zh-CN"/>
        </w:rPr>
        <w:t xml:space="preserve"> signaling</w:t>
      </w:r>
      <w:r w:rsidR="00323263">
        <w:rPr>
          <w:lang w:val="en-US" w:eastAsia="zh-CN"/>
        </w:rPr>
        <w:t xml:space="preserve"> and the observations are shown as below</w:t>
      </w:r>
      <w:r w:rsidR="00323263">
        <w:rPr>
          <w:rFonts w:hint="eastAsia"/>
          <w:lang w:val="en-US" w:eastAsia="zh-CN"/>
        </w:rPr>
        <w:t>：</w:t>
      </w:r>
    </w:p>
    <w:p w:rsidR="007E196B" w:rsidRDefault="007E196B" w:rsidP="007E196B">
      <w:pPr>
        <w:rPr>
          <w:b/>
          <w:lang w:val="en-US" w:eastAsia="zh-CN"/>
        </w:rPr>
      </w:pPr>
      <w:r w:rsidRPr="00076FAA">
        <w:rPr>
          <w:rFonts w:hint="eastAsia"/>
          <w:b/>
          <w:lang w:val="en-US" w:eastAsia="zh-CN"/>
        </w:rPr>
        <w:t>O</w:t>
      </w:r>
      <w:r w:rsidRPr="00076FAA">
        <w:rPr>
          <w:b/>
          <w:lang w:val="en-US" w:eastAsia="zh-CN"/>
        </w:rPr>
        <w:t>bservation 1</w:t>
      </w:r>
      <w:r w:rsidRPr="00076FAA">
        <w:rPr>
          <w:rFonts w:hint="eastAsia"/>
          <w:b/>
          <w:lang w:val="en-US" w:eastAsia="zh-CN"/>
        </w:rPr>
        <w:t>：</w:t>
      </w:r>
      <w:r>
        <w:rPr>
          <w:rFonts w:hint="eastAsia"/>
          <w:b/>
          <w:lang w:val="en-US" w:eastAsia="zh-CN"/>
        </w:rPr>
        <w:t>L</w:t>
      </w:r>
      <w:r>
        <w:rPr>
          <w:b/>
          <w:lang w:val="en-US" w:eastAsia="zh-CN"/>
        </w:rPr>
        <w:t xml:space="preserve">TE V2X PC2 </w:t>
      </w:r>
      <w:r>
        <w:rPr>
          <w:rFonts w:hint="eastAsia"/>
          <w:b/>
          <w:lang w:val="en-US" w:eastAsia="zh-CN"/>
        </w:rPr>
        <w:t>i</w:t>
      </w:r>
      <w:r>
        <w:rPr>
          <w:b/>
          <w:lang w:val="en-US" w:eastAsia="zh-CN"/>
        </w:rPr>
        <w:t>s only defined for transmit diversity.</w:t>
      </w:r>
    </w:p>
    <w:p w:rsidR="007E196B" w:rsidRPr="00076FAA" w:rsidRDefault="007E196B" w:rsidP="007E196B">
      <w:pPr>
        <w:rPr>
          <w:b/>
          <w:lang w:val="en-US" w:eastAsia="zh-CN"/>
        </w:rPr>
      </w:pPr>
      <w:r>
        <w:rPr>
          <w:b/>
          <w:lang w:val="en-US" w:eastAsia="zh-CN"/>
        </w:rPr>
        <w:t xml:space="preserve">Observation 2: The IE </w:t>
      </w:r>
      <w:r w:rsidRPr="00076FAA">
        <w:rPr>
          <w:b/>
          <w:i/>
        </w:rPr>
        <w:t xml:space="preserve">v2x-HighPower-r14 </w:t>
      </w:r>
      <w:r w:rsidRPr="00076FAA">
        <w:rPr>
          <w:b/>
        </w:rPr>
        <w:t>is for LTE V2X transmit diversity scheme.</w:t>
      </w:r>
    </w:p>
    <w:p w:rsidR="007E196B" w:rsidRDefault="007E196B" w:rsidP="007E196B">
      <w:pPr>
        <w:rPr>
          <w:b/>
        </w:rPr>
      </w:pPr>
      <w:r>
        <w:rPr>
          <w:rFonts w:hint="eastAsia"/>
          <w:b/>
          <w:lang w:eastAsia="zh-CN"/>
        </w:rPr>
        <w:t>Proposal</w:t>
      </w:r>
      <w:r>
        <w:rPr>
          <w:rFonts w:hint="eastAsia"/>
          <w:b/>
          <w:lang w:eastAsia="zh-CN"/>
        </w:rPr>
        <w:t>：</w:t>
      </w:r>
      <w:r w:rsidRPr="00076FAA">
        <w:rPr>
          <w:b/>
        </w:rPr>
        <w:t>For SL enhancement work, we need to clarify the</w:t>
      </w:r>
      <w:r>
        <w:rPr>
          <w:b/>
        </w:rPr>
        <w:t xml:space="preserve"> below</w:t>
      </w:r>
      <w:r w:rsidRPr="00076FAA">
        <w:rPr>
          <w:b/>
        </w:rPr>
        <w:t xml:space="preserve"> scenario range that PC2 UE applies.</w:t>
      </w:r>
    </w:p>
    <w:p w:rsidR="007E196B" w:rsidRPr="007E196B" w:rsidRDefault="007E196B" w:rsidP="007E196B">
      <w:pPr>
        <w:rPr>
          <w:b/>
        </w:rPr>
      </w:pPr>
      <w:r w:rsidRPr="007E196B">
        <w:rPr>
          <w:b/>
        </w:rPr>
        <w:t>Single band + Single antenna: Single 26dBm architecture</w:t>
      </w:r>
    </w:p>
    <w:p w:rsidR="007E196B" w:rsidRPr="007E196B" w:rsidRDefault="007E196B" w:rsidP="007E196B">
      <w:pPr>
        <w:rPr>
          <w:b/>
        </w:rPr>
      </w:pPr>
      <w:r w:rsidRPr="007E196B">
        <w:rPr>
          <w:b/>
        </w:rPr>
        <w:t xml:space="preserve">Single band </w:t>
      </w:r>
      <w:r w:rsidRPr="007E196B">
        <w:rPr>
          <w:rFonts w:hint="eastAsia"/>
          <w:b/>
          <w:lang w:eastAsia="zh-CN"/>
        </w:rPr>
        <w:t>+</w:t>
      </w:r>
      <w:r w:rsidRPr="007E196B">
        <w:rPr>
          <w:b/>
        </w:rPr>
        <w:t xml:space="preserve"> </w:t>
      </w:r>
      <w:r w:rsidRPr="007E196B">
        <w:rPr>
          <w:rFonts w:hint="eastAsia"/>
          <w:b/>
          <w:lang w:eastAsia="zh-CN"/>
        </w:rPr>
        <w:t>Multi</w:t>
      </w:r>
      <w:r w:rsidRPr="007E196B">
        <w:rPr>
          <w:b/>
        </w:rPr>
        <w:t xml:space="preserve"> antenna: TXD, SL-MIMO, intra-band concurrent operation</w:t>
      </w:r>
    </w:p>
    <w:p w:rsidR="007E196B" w:rsidRPr="007E196B" w:rsidRDefault="007E196B" w:rsidP="007E196B">
      <w:pPr>
        <w:rPr>
          <w:b/>
        </w:rPr>
      </w:pPr>
      <w:r w:rsidRPr="007E196B">
        <w:rPr>
          <w:b/>
        </w:rPr>
        <w:t>Multi band + Multi antenna: Inter-band concurrent operation</w:t>
      </w:r>
    </w:p>
    <w:p w:rsidR="00DB2AC9" w:rsidRPr="000A4C5A" w:rsidRDefault="00DB2AC9" w:rsidP="00DB2AC9">
      <w:pPr>
        <w:pStyle w:val="1"/>
      </w:pPr>
      <w:r w:rsidRPr="000A4C5A">
        <w:rPr>
          <w:rFonts w:hint="eastAsia"/>
        </w:rPr>
        <w:t>Reference</w:t>
      </w:r>
    </w:p>
    <w:bookmarkEnd w:id="0"/>
    <w:p w:rsidR="00EC6E99" w:rsidRDefault="00EC6E99" w:rsidP="00EC6E99">
      <w:pPr>
        <w:numPr>
          <w:ilvl w:val="0"/>
          <w:numId w:val="2"/>
        </w:numPr>
        <w:rPr>
          <w:lang w:val="en-US" w:eastAsia="zh-CN"/>
        </w:rPr>
      </w:pPr>
      <w:r w:rsidRPr="00EC6E99">
        <w:rPr>
          <w:lang w:val="en-US" w:eastAsia="zh-CN"/>
        </w:rPr>
        <w:t>R4-2105407</w:t>
      </w:r>
      <w:r w:rsidRPr="00EC6E99">
        <w:rPr>
          <w:lang w:val="en-US" w:eastAsia="zh-CN"/>
        </w:rPr>
        <w:tab/>
        <w:t>Way forward on PC2 NR V2X</w:t>
      </w:r>
      <w:r>
        <w:rPr>
          <w:lang w:val="en-US" w:eastAsia="zh-CN"/>
        </w:rPr>
        <w:t xml:space="preserve">, </w:t>
      </w:r>
      <w:r w:rsidRPr="00EC6E99">
        <w:rPr>
          <w:lang w:val="en-US" w:eastAsia="zh-CN"/>
        </w:rPr>
        <w:t>Huawei, HiSilicon</w:t>
      </w:r>
    </w:p>
    <w:p w:rsidR="00C83690" w:rsidRPr="00076FAA" w:rsidRDefault="00EC6E99" w:rsidP="00EC6E99">
      <w:pPr>
        <w:numPr>
          <w:ilvl w:val="0"/>
          <w:numId w:val="2"/>
        </w:numPr>
        <w:rPr>
          <w:lang w:val="en-US" w:eastAsia="zh-CN"/>
        </w:rPr>
      </w:pPr>
      <w:r w:rsidRPr="00EC6E99">
        <w:rPr>
          <w:lang w:eastAsia="zh-CN"/>
        </w:rPr>
        <w:t xml:space="preserve">R4-2106296 </w:t>
      </w:r>
      <w:r>
        <w:rPr>
          <w:lang w:eastAsia="zh-CN"/>
        </w:rPr>
        <w:tab/>
      </w:r>
      <w:r w:rsidRPr="00EC6E99">
        <w:rPr>
          <w:lang w:eastAsia="zh-CN"/>
        </w:rPr>
        <w:t>on HPUE signalling issue</w:t>
      </w:r>
      <w:r>
        <w:rPr>
          <w:lang w:eastAsia="zh-CN"/>
        </w:rPr>
        <w:t>, Xiaomi</w:t>
      </w:r>
    </w:p>
    <w:p w:rsidR="00076FAA" w:rsidRPr="00C83690" w:rsidRDefault="00076FAA" w:rsidP="00076FAA">
      <w:pPr>
        <w:numPr>
          <w:ilvl w:val="0"/>
          <w:numId w:val="2"/>
        </w:numPr>
        <w:rPr>
          <w:lang w:val="en-US" w:eastAsia="zh-CN"/>
        </w:rPr>
      </w:pPr>
      <w:r w:rsidRPr="00076FAA">
        <w:rPr>
          <w:lang w:val="en-US" w:eastAsia="zh-CN"/>
        </w:rPr>
        <w:t>R4-2105400</w:t>
      </w:r>
      <w:r w:rsidRPr="00076FAA">
        <w:rPr>
          <w:lang w:val="en-US" w:eastAsia="zh-CN"/>
        </w:rPr>
        <w:tab/>
        <w:t>Way forward on general principle for SL enhancements</w:t>
      </w:r>
      <w:r>
        <w:rPr>
          <w:lang w:val="en-US" w:eastAsia="zh-CN"/>
        </w:rPr>
        <w:t xml:space="preserve">. </w:t>
      </w:r>
      <w:r w:rsidRPr="00076FAA">
        <w:rPr>
          <w:lang w:val="en-US" w:eastAsia="zh-CN"/>
        </w:rPr>
        <w:t>LG Electronics</w:t>
      </w: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E6A" w:rsidRDefault="00EE1E6A" w:rsidP="00DB2AC9">
      <w:pPr>
        <w:spacing w:after="0"/>
      </w:pPr>
      <w:r>
        <w:separator/>
      </w:r>
    </w:p>
  </w:endnote>
  <w:endnote w:type="continuationSeparator" w:id="0">
    <w:p w:rsidR="00EE1E6A" w:rsidRDefault="00EE1E6A"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µEI?"/>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E6A" w:rsidRDefault="00EE1E6A" w:rsidP="00DB2AC9">
      <w:pPr>
        <w:spacing w:after="0"/>
      </w:pPr>
      <w:r>
        <w:separator/>
      </w:r>
    </w:p>
  </w:footnote>
  <w:footnote w:type="continuationSeparator" w:id="0">
    <w:p w:rsidR="00EE1E6A" w:rsidRDefault="00EE1E6A"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048C2"/>
    <w:rsid w:val="0003136E"/>
    <w:rsid w:val="00076FAA"/>
    <w:rsid w:val="00081ABB"/>
    <w:rsid w:val="0011094C"/>
    <w:rsid w:val="00115B38"/>
    <w:rsid w:val="00153FF0"/>
    <w:rsid w:val="0019167E"/>
    <w:rsid w:val="001E0BF5"/>
    <w:rsid w:val="001F4672"/>
    <w:rsid w:val="00260C91"/>
    <w:rsid w:val="00263744"/>
    <w:rsid w:val="00271175"/>
    <w:rsid w:val="00284B35"/>
    <w:rsid w:val="002A553E"/>
    <w:rsid w:val="002C2022"/>
    <w:rsid w:val="002D2F74"/>
    <w:rsid w:val="00315710"/>
    <w:rsid w:val="00323263"/>
    <w:rsid w:val="00345A95"/>
    <w:rsid w:val="003824FC"/>
    <w:rsid w:val="00401396"/>
    <w:rsid w:val="00477BCE"/>
    <w:rsid w:val="00480F2E"/>
    <w:rsid w:val="004C1C43"/>
    <w:rsid w:val="00517EAB"/>
    <w:rsid w:val="0052288E"/>
    <w:rsid w:val="00546130"/>
    <w:rsid w:val="005662AB"/>
    <w:rsid w:val="00594B57"/>
    <w:rsid w:val="005B1762"/>
    <w:rsid w:val="005C016E"/>
    <w:rsid w:val="005C73C6"/>
    <w:rsid w:val="0062790E"/>
    <w:rsid w:val="006318F5"/>
    <w:rsid w:val="00641E42"/>
    <w:rsid w:val="006474F1"/>
    <w:rsid w:val="00692D6B"/>
    <w:rsid w:val="00773B7D"/>
    <w:rsid w:val="0079014C"/>
    <w:rsid w:val="007A4AC6"/>
    <w:rsid w:val="007E196B"/>
    <w:rsid w:val="007F54FC"/>
    <w:rsid w:val="008006DE"/>
    <w:rsid w:val="00803B0C"/>
    <w:rsid w:val="00805BF5"/>
    <w:rsid w:val="00871B03"/>
    <w:rsid w:val="008D0CAC"/>
    <w:rsid w:val="008E4D23"/>
    <w:rsid w:val="00951CF8"/>
    <w:rsid w:val="00984A1B"/>
    <w:rsid w:val="00992D9C"/>
    <w:rsid w:val="009A2700"/>
    <w:rsid w:val="009B75C0"/>
    <w:rsid w:val="00A04E47"/>
    <w:rsid w:val="00A10E75"/>
    <w:rsid w:val="00A24FEA"/>
    <w:rsid w:val="00A3401F"/>
    <w:rsid w:val="00A46759"/>
    <w:rsid w:val="00A652AE"/>
    <w:rsid w:val="00A84FCD"/>
    <w:rsid w:val="00AC0B92"/>
    <w:rsid w:val="00B03CB3"/>
    <w:rsid w:val="00B454C2"/>
    <w:rsid w:val="00B5385D"/>
    <w:rsid w:val="00B95EA3"/>
    <w:rsid w:val="00BA648E"/>
    <w:rsid w:val="00BB408C"/>
    <w:rsid w:val="00BE2F01"/>
    <w:rsid w:val="00C3221C"/>
    <w:rsid w:val="00C37E83"/>
    <w:rsid w:val="00C42119"/>
    <w:rsid w:val="00C7497C"/>
    <w:rsid w:val="00C75255"/>
    <w:rsid w:val="00C83690"/>
    <w:rsid w:val="00CA61A8"/>
    <w:rsid w:val="00CA6327"/>
    <w:rsid w:val="00CA75C2"/>
    <w:rsid w:val="00CB6C89"/>
    <w:rsid w:val="00CE6AC7"/>
    <w:rsid w:val="00CF3C50"/>
    <w:rsid w:val="00D03608"/>
    <w:rsid w:val="00D15177"/>
    <w:rsid w:val="00D17695"/>
    <w:rsid w:val="00D30509"/>
    <w:rsid w:val="00D42672"/>
    <w:rsid w:val="00D607D4"/>
    <w:rsid w:val="00D938AB"/>
    <w:rsid w:val="00DB1B79"/>
    <w:rsid w:val="00DB2AC9"/>
    <w:rsid w:val="00DD4592"/>
    <w:rsid w:val="00E02E23"/>
    <w:rsid w:val="00E47A6C"/>
    <w:rsid w:val="00E54E8F"/>
    <w:rsid w:val="00E9533D"/>
    <w:rsid w:val="00EA01BC"/>
    <w:rsid w:val="00EB6689"/>
    <w:rsid w:val="00EC6E99"/>
    <w:rsid w:val="00EE1E6A"/>
    <w:rsid w:val="00EF408F"/>
    <w:rsid w:val="00EF4F82"/>
    <w:rsid w:val="00F00E31"/>
    <w:rsid w:val="00F51CE6"/>
    <w:rsid w:val="00F93B56"/>
    <w:rsid w:val="00FA6A5D"/>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39885"/>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598683091">
          <w:marLeft w:val="547"/>
          <w:marRight w:val="0"/>
          <w:marTop w:val="96"/>
          <w:marBottom w:val="0"/>
          <w:divBdr>
            <w:top w:val="none" w:sz="0" w:space="0" w:color="auto"/>
            <w:left w:val="none" w:sz="0" w:space="0" w:color="auto"/>
            <w:bottom w:val="none" w:sz="0" w:space="0" w:color="auto"/>
            <w:right w:val="none" w:sz="0" w:space="0" w:color="auto"/>
          </w:divBdr>
        </w:div>
        <w:div w:id="305819981">
          <w:marLeft w:val="547"/>
          <w:marRight w:val="0"/>
          <w:marTop w:val="96"/>
          <w:marBottom w:val="0"/>
          <w:divBdr>
            <w:top w:val="none" w:sz="0" w:space="0" w:color="auto"/>
            <w:left w:val="none" w:sz="0" w:space="0" w:color="auto"/>
            <w:bottom w:val="none" w:sz="0" w:space="0" w:color="auto"/>
            <w:right w:val="none" w:sz="0" w:space="0" w:color="auto"/>
          </w:divBdr>
        </w:div>
      </w:divsChild>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432361990">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17EA1-46C2-4760-8DD7-381EFEF84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477</Words>
  <Characters>2725</Characters>
  <Application>Microsoft Office Word</Application>
  <DocSecurity>0</DocSecurity>
  <Lines>22</Lines>
  <Paragraphs>6</Paragraphs>
  <ScaleCrop>false</ScaleCrop>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6</cp:revision>
  <dcterms:created xsi:type="dcterms:W3CDTF">2021-05-09T02:33:00Z</dcterms:created>
  <dcterms:modified xsi:type="dcterms:W3CDTF">2021-05-11T09:23:00Z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